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8D" w:rsidRDefault="008E2C8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2C8D" w:rsidRDefault="008E2C8D">
      <w:pPr>
        <w:pStyle w:val="ConsPlusNormal"/>
        <w:jc w:val="both"/>
        <w:outlineLvl w:val="0"/>
      </w:pPr>
    </w:p>
    <w:p w:rsidR="008E2C8D" w:rsidRDefault="008E2C8D">
      <w:pPr>
        <w:pStyle w:val="ConsPlusNormal"/>
        <w:outlineLvl w:val="0"/>
      </w:pPr>
      <w:r>
        <w:t>Зарегистрировано в Минюсте России 21 декабря 2020 г. N 61609</w:t>
      </w:r>
    </w:p>
    <w:p w:rsidR="008E2C8D" w:rsidRDefault="008E2C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</w:pPr>
      <w:r>
        <w:t>МИНИСТЕРСТВО ПРОСВЕЩЕНИЯ РОССИЙСКОЙ ФЕДЕРАЦИИ</w:t>
      </w:r>
    </w:p>
    <w:p w:rsidR="008E2C8D" w:rsidRDefault="008E2C8D">
      <w:pPr>
        <w:pStyle w:val="ConsPlusTitle"/>
        <w:jc w:val="center"/>
      </w:pPr>
    </w:p>
    <w:p w:rsidR="008E2C8D" w:rsidRDefault="008E2C8D">
      <w:pPr>
        <w:pStyle w:val="ConsPlusTitle"/>
        <w:jc w:val="center"/>
      </w:pPr>
      <w:r>
        <w:t>ПРИКАЗ</w:t>
      </w:r>
    </w:p>
    <w:p w:rsidR="008E2C8D" w:rsidRDefault="008E2C8D">
      <w:pPr>
        <w:pStyle w:val="ConsPlusTitle"/>
        <w:jc w:val="center"/>
      </w:pPr>
      <w:r>
        <w:t>от 23 ноября 2020 г. N 657</w:t>
      </w:r>
    </w:p>
    <w:p w:rsidR="008E2C8D" w:rsidRDefault="008E2C8D">
      <w:pPr>
        <w:pStyle w:val="ConsPlusTitle"/>
        <w:jc w:val="center"/>
      </w:pPr>
    </w:p>
    <w:p w:rsidR="008E2C8D" w:rsidRDefault="008E2C8D">
      <w:pPr>
        <w:pStyle w:val="ConsPlusTitle"/>
        <w:jc w:val="center"/>
      </w:pPr>
      <w:r>
        <w:t>ОБ УТВЕРЖДЕНИИ</w:t>
      </w:r>
    </w:p>
    <w:p w:rsidR="008E2C8D" w:rsidRDefault="008E2C8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E2C8D" w:rsidRDefault="008E2C8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E2C8D" w:rsidRDefault="008E2C8D">
      <w:pPr>
        <w:pStyle w:val="ConsPlusTitle"/>
        <w:jc w:val="center"/>
      </w:pPr>
      <w:r>
        <w:t>36.02.01 ВЕТЕРИНАРИЯ</w:t>
      </w:r>
    </w:p>
    <w:p w:rsidR="008E2C8D" w:rsidRDefault="008E2C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2C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8D" w:rsidRDefault="008E2C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8D" w:rsidRDefault="008E2C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C8D" w:rsidRDefault="008E2C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C8D" w:rsidRDefault="008E2C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01.09.2022 </w:t>
            </w:r>
            <w:hyperlink r:id="rId6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E2C8D" w:rsidRDefault="008E2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7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8D" w:rsidRDefault="008E2C8D">
            <w:pPr>
              <w:pStyle w:val="ConsPlusNormal"/>
            </w:pPr>
          </w:p>
        </w:tc>
      </w:tr>
    </w:tbl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36.02.01 Ветеринария (далее - стандарт).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образовательная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36.02.01 Ветеринария, утвержденным приказом Министерства образования и науки Российской Федерации от 12 мая 2014 г. N 504 (зарегистрирован Министерством юстиции Российской Федерации 10 июня 2014 г., регистрационный N 32656), с изменениями, внесенными приказом Министерства образования и науки Российской Федерации от 9 апреля 2015 г. N</w:t>
      </w:r>
      <w:proofErr w:type="gramEnd"/>
      <w:r>
        <w:t xml:space="preserve"> 391 (зарегистрирован Министерством юстиции Российской Федерации 14 мая 2015 г., регистрационный N 37276), прекращается 1 сентября 2021 года.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right"/>
      </w:pPr>
      <w:r>
        <w:t>Министр</w:t>
      </w:r>
    </w:p>
    <w:p w:rsidR="008E2C8D" w:rsidRDefault="008E2C8D">
      <w:pPr>
        <w:pStyle w:val="ConsPlusNormal"/>
        <w:jc w:val="right"/>
      </w:pPr>
      <w:r>
        <w:t>С.С.КРАВЦОВ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right"/>
        <w:outlineLvl w:val="0"/>
      </w:pPr>
      <w:r>
        <w:t>Приложение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right"/>
      </w:pPr>
      <w:r>
        <w:t>Утвержден</w:t>
      </w:r>
    </w:p>
    <w:p w:rsidR="008E2C8D" w:rsidRDefault="008E2C8D">
      <w:pPr>
        <w:pStyle w:val="ConsPlusNormal"/>
        <w:jc w:val="right"/>
      </w:pPr>
      <w:r>
        <w:t>приказом Министерства просвещения</w:t>
      </w:r>
    </w:p>
    <w:p w:rsidR="008E2C8D" w:rsidRDefault="008E2C8D">
      <w:pPr>
        <w:pStyle w:val="ConsPlusNormal"/>
        <w:jc w:val="right"/>
      </w:pPr>
      <w:r>
        <w:t>Российской Федерации</w:t>
      </w:r>
    </w:p>
    <w:p w:rsidR="008E2C8D" w:rsidRDefault="008E2C8D">
      <w:pPr>
        <w:pStyle w:val="ConsPlusNormal"/>
        <w:jc w:val="right"/>
      </w:pPr>
      <w:r>
        <w:t>от 23 ноября 2020 г. N 657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8E2C8D" w:rsidRDefault="008E2C8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E2C8D" w:rsidRDefault="008E2C8D">
      <w:pPr>
        <w:pStyle w:val="ConsPlusTitle"/>
        <w:jc w:val="center"/>
      </w:pPr>
      <w:r>
        <w:t>36.02.01 ВЕТЕРИНАРИЯ</w:t>
      </w:r>
    </w:p>
    <w:p w:rsidR="008E2C8D" w:rsidRDefault="008E2C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2C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8D" w:rsidRDefault="008E2C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8D" w:rsidRDefault="008E2C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C8D" w:rsidRDefault="008E2C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C8D" w:rsidRDefault="008E2C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01.09.2022 </w:t>
            </w:r>
            <w:hyperlink r:id="rId1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E2C8D" w:rsidRDefault="008E2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12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8D" w:rsidRDefault="008E2C8D">
            <w:pPr>
              <w:pStyle w:val="ConsPlusNormal"/>
            </w:pPr>
          </w:p>
        </w:tc>
      </w:tr>
    </w:tbl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  <w:outlineLvl w:val="1"/>
      </w:pPr>
      <w:r>
        <w:t>I. ОБЩИЕ ПОЛОЖЕНИЯ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36.02.01 Ветеринария (далее соответственно - ФГОС СПО, образовательная программа, специальность).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- образовательная организация).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8E2C8D" w:rsidRDefault="008E2C8D">
      <w:pPr>
        <w:pStyle w:val="ConsPlusNormal"/>
        <w:spacing w:before="220"/>
        <w:ind w:firstLine="540"/>
        <w:jc w:val="both"/>
      </w:pPr>
      <w:r>
        <w:t>1.4. Содержание образования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ФГОС СПО и с учетом соответствующей примерной образовательной программы, включенной в реестр примерных образовательных программ (далее - ПОП).</w:t>
      </w:r>
    </w:p>
    <w:p w:rsidR="008E2C8D" w:rsidRDefault="008E2C8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1.5. </w:t>
      </w:r>
      <w:proofErr w:type="gramStart"/>
      <w:r>
        <w:t xml:space="preserve">Образовательная организация разрабатывает образовательную программу в соответствии с квалификацией специалиста среднего звена "ветеринарный фельдшер", "старший ветеринарный фельдшер", указанной в </w:t>
      </w:r>
      <w:hyperlink r:id="rId14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</w:t>
      </w:r>
      <w:proofErr w:type="gramEnd"/>
      <w:r>
        <w:t xml:space="preserve"> </w:t>
      </w:r>
      <w:proofErr w:type="gramStart"/>
      <w:r>
        <w:t>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 и приказом</w:t>
      </w:r>
      <w:proofErr w:type="gramEnd"/>
      <w:r>
        <w:t xml:space="preserve">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1.6.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(далее - компетенции), требования к результатам освоения в части профессиональных компетенций формируются на основе профессиональных стандартов (</w:t>
      </w:r>
      <w:hyperlink w:anchor="P257">
        <w:r>
          <w:rPr>
            <w:color w:val="0000FF"/>
          </w:rPr>
          <w:t>приложение N 1</w:t>
        </w:r>
      </w:hyperlink>
      <w:r>
        <w:t xml:space="preserve"> к ФГОС СПО).</w:t>
      </w:r>
    </w:p>
    <w:p w:rsidR="008E2C8D" w:rsidRDefault="008E2C8D">
      <w:pPr>
        <w:pStyle w:val="ConsPlusNormal"/>
        <w:spacing w:before="220"/>
        <w:ind w:firstLine="540"/>
        <w:jc w:val="both"/>
      </w:pPr>
      <w:bookmarkStart w:id="2" w:name="P53"/>
      <w:bookmarkEnd w:id="2"/>
      <w:r>
        <w:lastRenderedPageBreak/>
        <w:t>1.7.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&lt;1&gt;.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r>
        <w:t xml:space="preserve">1.8.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6">
        <w:r>
          <w:rPr>
            <w:color w:val="0000FF"/>
          </w:rPr>
          <w:t>стандарта</w:t>
        </w:r>
      </w:hyperlink>
      <w:r>
        <w:t xml:space="preserve"> среднего общего образования, ФГОС СПО и положений федеральной основной общеобразовательной программы среднего общего образования с учетом получаемой профессии &lt;1(1)&gt;.</w:t>
      </w:r>
    </w:p>
    <w:p w:rsidR="008E2C8D" w:rsidRDefault="008E2C8D">
      <w:pPr>
        <w:pStyle w:val="ConsPlusNormal"/>
        <w:jc w:val="both"/>
      </w:pPr>
      <w:r>
        <w:t xml:space="preserve">(п. 1.8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 xml:space="preserve">&lt;1(1)&gt; Федеральный государственный образовательный </w:t>
      </w:r>
      <w:hyperlink r:id="rId18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</w:t>
      </w:r>
      <w:proofErr w:type="gramEnd"/>
      <w:r>
        <w:t xml:space="preserve"> </w:t>
      </w:r>
      <w:proofErr w:type="gramStart"/>
      <w:r>
        <w:t>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</w:t>
      </w:r>
      <w:proofErr w:type="gramEnd"/>
      <w:r>
        <w:t xml:space="preserve"> </w:t>
      </w:r>
      <w:proofErr w:type="gramStart"/>
      <w:r>
        <w:t>2024 г., регистрационный N 77121).</w:t>
      </w:r>
      <w:proofErr w:type="gramEnd"/>
    </w:p>
    <w:p w:rsidR="008E2C8D" w:rsidRDefault="008E2C8D">
      <w:pPr>
        <w:pStyle w:val="ConsPlusNormal"/>
        <w:jc w:val="both"/>
      </w:pPr>
      <w:r>
        <w:t xml:space="preserve">(сноска введена </w:t>
      </w:r>
      <w:hyperlink r:id="rId19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ind w:firstLine="540"/>
        <w:jc w:val="both"/>
      </w:pPr>
    </w:p>
    <w:p w:rsidR="008E2C8D" w:rsidRDefault="008E2C8D">
      <w:pPr>
        <w:pStyle w:val="ConsPlusNormal"/>
        <w:ind w:firstLine="540"/>
        <w:jc w:val="both"/>
      </w:pPr>
      <w:r>
        <w:t>1.9.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1.10.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1.11. </w:t>
      </w:r>
      <w:proofErr w:type="gramStart"/>
      <w:r>
        <w:t xml:space="preserve">Воспитание обучающихся при освоении ими образовательной программы </w:t>
      </w:r>
      <w:r>
        <w:lastRenderedPageBreak/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&lt;1(2)&gt;.</w:t>
      </w:r>
      <w:proofErr w:type="gramEnd"/>
    </w:p>
    <w:p w:rsidR="008E2C8D" w:rsidRDefault="008E2C8D">
      <w:pPr>
        <w:pStyle w:val="ConsPlusNormal"/>
        <w:jc w:val="both"/>
      </w:pPr>
      <w:r>
        <w:t xml:space="preserve">(п. 1.11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&lt;1(2)&gt; </w:t>
      </w:r>
      <w:hyperlink r:id="rId21">
        <w:r>
          <w:rPr>
            <w:color w:val="0000FF"/>
          </w:rPr>
          <w:t>Часть 2 статьи 12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E2C8D" w:rsidRDefault="008E2C8D">
      <w:pPr>
        <w:pStyle w:val="ConsPlusNormal"/>
        <w:jc w:val="both"/>
      </w:pPr>
      <w:r>
        <w:t xml:space="preserve">(сноска введена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ind w:firstLine="540"/>
        <w:jc w:val="both"/>
      </w:pPr>
    </w:p>
    <w:p w:rsidR="008E2C8D" w:rsidRDefault="008E2C8D">
      <w:pPr>
        <w:pStyle w:val="ConsPlusNormal"/>
        <w:ind w:firstLine="540"/>
        <w:jc w:val="both"/>
      </w:pPr>
      <w:r>
        <w:t>1.12.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&lt;2&gt;.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r>
        <w:t>1.13.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месяцев;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программе, предусматривающей получение в соответствии с </w:t>
      </w:r>
      <w:hyperlink w:anchor="P51">
        <w:r>
          <w:rPr>
            <w:color w:val="0000FF"/>
          </w:rPr>
          <w:t>пунктом 1.5</w:t>
        </w:r>
      </w:hyperlink>
      <w:r>
        <w:t xml:space="preserve"> ФГОС СПО квалификации специалиста среднего звена "старший ветеринарный фельдшер", увеличивается на 1 год.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вне зависимости от применяемых образовательных технологий увеличивается по сравнению со сроком получения образования в очной форме обучения: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При обучении по индивидуальному учебному плану срок получения образования по образовательной программе вне зависимости от формы</w:t>
      </w:r>
      <w:proofErr w:type="gramEnd"/>
      <w:r>
        <w:t xml:space="preserve"> обучения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форме обучения,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1.14. </w:t>
      </w:r>
      <w:proofErr w:type="gramStart"/>
      <w:r>
        <w:t xml:space="preserve"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</w:t>
      </w:r>
      <w:r>
        <w:lastRenderedPageBreak/>
        <w:t>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&lt;3&gt;.</w:t>
      </w:r>
    </w:p>
    <w:p w:rsidR="008E2C8D" w:rsidRDefault="008E2C8D">
      <w:pPr>
        <w:pStyle w:val="ConsPlusNormal"/>
        <w:jc w:val="both"/>
      </w:pPr>
      <w:r>
        <w:t xml:space="preserve">(п. 1.14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Приказом</w:t>
        </w:r>
      </w:hyperlink>
      <w:r>
        <w:t xml:space="preserve"> Минпросвещения России от 01.09.2022 N 796;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6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8E2C8D" w:rsidRDefault="008E2C8D">
      <w:pPr>
        <w:pStyle w:val="ConsPlusNormal"/>
        <w:jc w:val="both"/>
      </w:pPr>
      <w:r>
        <w:t xml:space="preserve">(сноска введена </w:t>
      </w:r>
      <w:hyperlink r:id="rId27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6">
        <w:r>
          <w:rPr>
            <w:color w:val="0000FF"/>
          </w:rPr>
          <w:t>главой III</w:t>
        </w:r>
      </w:hyperlink>
      <w:r>
        <w:t xml:space="preserve"> ФГОС СПО, и должна составлять не более 70 процентов от общего объема времени, отведенного на ее освоение, без учета объема времени на государственную итоговую аттестацию.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дает возможность расширения основног</w:t>
      </w:r>
      <w:proofErr w:type="gramStart"/>
      <w:r>
        <w:t>о(</w:t>
      </w:r>
      <w:proofErr w:type="gramEnd"/>
      <w:r>
        <w:t xml:space="preserve">ых) вида(ов) деятельности, к которым должен быть готов выпускник, освоивший образовательную программу, согласно квалификации, указанной в </w:t>
      </w:r>
      <w:hyperlink w:anchor="P51">
        <w:r>
          <w:rPr>
            <w:color w:val="0000FF"/>
          </w:rPr>
          <w:t>пункте 1.5</w:t>
        </w:r>
      </w:hyperlink>
      <w:r>
        <w:t xml:space="preserve">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8E2C8D" w:rsidRDefault="008E2C8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2.2. Образовательная программа имеет следующую структуру: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математический и общий естественнонаучный цикл;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профессиональный цикл;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51">
        <w:r>
          <w:rPr>
            <w:color w:val="0000FF"/>
          </w:rPr>
          <w:t>пункте 1.5</w:t>
        </w:r>
      </w:hyperlink>
      <w:r>
        <w:t xml:space="preserve"> ФГОС СПО.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right"/>
        <w:outlineLvl w:val="2"/>
      </w:pPr>
      <w:r>
        <w:t>Таблица N 1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</w:pPr>
      <w:bookmarkStart w:id="3" w:name="P108"/>
      <w:bookmarkEnd w:id="3"/>
      <w:r>
        <w:t>Структура и объем образовательной программы</w:t>
      </w:r>
    </w:p>
    <w:p w:rsidR="008E2C8D" w:rsidRDefault="008E2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597"/>
        <w:gridCol w:w="2597"/>
      </w:tblGrid>
      <w:tr w:rsidR="008E2C8D">
        <w:tc>
          <w:tcPr>
            <w:tcW w:w="3855" w:type="dxa"/>
            <w:vMerge w:val="restart"/>
          </w:tcPr>
          <w:p w:rsidR="008E2C8D" w:rsidRDefault="008E2C8D">
            <w:pPr>
              <w:pStyle w:val="ConsPlusNormal"/>
              <w:jc w:val="center"/>
            </w:pPr>
            <w:r>
              <w:lastRenderedPageBreak/>
              <w:t>Структура образовательной программы</w:t>
            </w:r>
          </w:p>
        </w:tc>
        <w:tc>
          <w:tcPr>
            <w:tcW w:w="5194" w:type="dxa"/>
            <w:gridSpan w:val="2"/>
          </w:tcPr>
          <w:p w:rsidR="008E2C8D" w:rsidRDefault="008E2C8D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8E2C8D">
        <w:tc>
          <w:tcPr>
            <w:tcW w:w="3855" w:type="dxa"/>
            <w:vMerge/>
          </w:tcPr>
          <w:p w:rsidR="008E2C8D" w:rsidRDefault="008E2C8D">
            <w:pPr>
              <w:pStyle w:val="ConsPlusNormal"/>
            </w:pP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при получении квалификации специалиста среднего звена "ветеринарный фельдшер"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при получении квалификации специалиста среднего звена "старший ветеринарный фельдшер"</w:t>
            </w:r>
          </w:p>
        </w:tc>
      </w:tr>
      <w:tr w:rsidR="008E2C8D">
        <w:tc>
          <w:tcPr>
            <w:tcW w:w="3855" w:type="dxa"/>
          </w:tcPr>
          <w:p w:rsidR="008E2C8D" w:rsidRDefault="008E2C8D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не менее 468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не менее 504</w:t>
            </w:r>
          </w:p>
        </w:tc>
      </w:tr>
      <w:tr w:rsidR="008E2C8D">
        <w:tc>
          <w:tcPr>
            <w:tcW w:w="3855" w:type="dxa"/>
          </w:tcPr>
          <w:p w:rsidR="008E2C8D" w:rsidRDefault="008E2C8D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не менее 144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8E2C8D">
        <w:tc>
          <w:tcPr>
            <w:tcW w:w="3855" w:type="dxa"/>
          </w:tcPr>
          <w:p w:rsidR="008E2C8D" w:rsidRDefault="008E2C8D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не менее 612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не менее 648</w:t>
            </w:r>
          </w:p>
        </w:tc>
      </w:tr>
      <w:tr w:rsidR="008E2C8D">
        <w:tc>
          <w:tcPr>
            <w:tcW w:w="3855" w:type="dxa"/>
          </w:tcPr>
          <w:p w:rsidR="008E2C8D" w:rsidRDefault="008E2C8D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не менее 1728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не менее 2664</w:t>
            </w:r>
          </w:p>
        </w:tc>
      </w:tr>
      <w:tr w:rsidR="008E2C8D">
        <w:tc>
          <w:tcPr>
            <w:tcW w:w="3855" w:type="dxa"/>
          </w:tcPr>
          <w:p w:rsidR="008E2C8D" w:rsidRDefault="008E2C8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216</w:t>
            </w:r>
          </w:p>
        </w:tc>
      </w:tr>
      <w:tr w:rsidR="008E2C8D">
        <w:tc>
          <w:tcPr>
            <w:tcW w:w="9049" w:type="dxa"/>
            <w:gridSpan w:val="3"/>
            <w:vAlign w:val="center"/>
          </w:tcPr>
          <w:p w:rsidR="008E2C8D" w:rsidRDefault="008E2C8D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8E2C8D">
        <w:tc>
          <w:tcPr>
            <w:tcW w:w="3855" w:type="dxa"/>
          </w:tcPr>
          <w:p w:rsidR="008E2C8D" w:rsidRDefault="008E2C8D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2597" w:type="dxa"/>
          </w:tcPr>
          <w:p w:rsidR="008E2C8D" w:rsidRDefault="008E2C8D">
            <w:pPr>
              <w:pStyle w:val="ConsPlusNormal"/>
              <w:jc w:val="center"/>
            </w:pPr>
            <w:r>
              <w:t>5940</w:t>
            </w:r>
          </w:p>
        </w:tc>
      </w:tr>
      <w:tr w:rsidR="008E2C8D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</w:tcPr>
          <w:p w:rsidR="008E2C8D" w:rsidRDefault="008E2C8D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597" w:type="dxa"/>
            <w:tcBorders>
              <w:bottom w:val="nil"/>
            </w:tcBorders>
          </w:tcPr>
          <w:p w:rsidR="008E2C8D" w:rsidRDefault="008E2C8D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2597" w:type="dxa"/>
            <w:tcBorders>
              <w:bottom w:val="nil"/>
            </w:tcBorders>
          </w:tcPr>
          <w:p w:rsidR="008E2C8D" w:rsidRDefault="008E2C8D">
            <w:pPr>
              <w:pStyle w:val="ConsPlusNormal"/>
              <w:jc w:val="center"/>
            </w:pPr>
            <w:r>
              <w:t>7416</w:t>
            </w:r>
          </w:p>
        </w:tc>
      </w:tr>
      <w:tr w:rsidR="008E2C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8E2C8D" w:rsidRDefault="008E2C8D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r>
        <w:t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ПОП по соответствующей специальности.</w:t>
      </w:r>
    </w:p>
    <w:p w:rsidR="008E2C8D" w:rsidRDefault="008E2C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 и другое), практики (в профессиональном цикле) и самостоятельной работы обучающихся.</w:t>
      </w:r>
      <w:proofErr w:type="gramEnd"/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108">
        <w:r>
          <w:rPr>
            <w:color w:val="0000FF"/>
          </w:rPr>
          <w:t>Таблицей N 1</w:t>
        </w:r>
      </w:hyperlink>
      <w:r>
        <w:t xml:space="preserve"> ФГОС СПО, в очно-заочной форме обучения - не менее 25 процентов.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lastRenderedPageBreak/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 и фондами оценочных средств, позволяющими оценить достижение запланированных по отдельным дисциплинам (модулям) и практикам результатов обучения.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2.6. Образовательная организация должна предоставлять инвалидам и лицам с ограниченными возможностями здоровья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практика, которые реализуются в форме практической подготовки.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периодов, так и рассредоточенно, чередуясь с теоретическими занятиями.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2.9. Государственная итоговая аттестация проводится в форме демонстрационного экзамена и защиты дипломного проекта (работы).</w:t>
      </w:r>
    </w:p>
    <w:p w:rsidR="008E2C8D" w:rsidRDefault="008E2C8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  <w:outlineLvl w:val="1"/>
      </w:pPr>
      <w:bookmarkStart w:id="4" w:name="P156"/>
      <w:bookmarkEnd w:id="4"/>
      <w:r>
        <w:t>III. ТРЕБОВАНИЯ К РЕЗУЛЬТАТАМ ОСВОЕНИЯ</w:t>
      </w:r>
    </w:p>
    <w:p w:rsidR="008E2C8D" w:rsidRDefault="008E2C8D">
      <w:pPr>
        <w:pStyle w:val="ConsPlusTitle"/>
        <w:jc w:val="center"/>
      </w:pPr>
      <w:r>
        <w:t>ОБРАЗОВАТЕЛЬНОЙ ПРОГРАММЫ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</w:t>
      </w:r>
      <w:r>
        <w:lastRenderedPageBreak/>
        <w:t>сформированы общие и профессиональные компетенции.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8E2C8D" w:rsidRDefault="008E2C8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E2C8D" w:rsidRDefault="008E2C8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8E2C8D" w:rsidRDefault="008E2C8D">
      <w:pPr>
        <w:pStyle w:val="ConsPlusNormal"/>
        <w:jc w:val="both"/>
      </w:pPr>
      <w:r>
        <w:t xml:space="preserve">(п. 3.2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деятельности, предусмотренных ФГОС СПО, согласно выбранной квалификации специалиста среднего звена, указанных в </w:t>
      </w:r>
      <w:hyperlink w:anchor="P51">
        <w:r>
          <w:rPr>
            <w:color w:val="0000FF"/>
          </w:rPr>
          <w:t>пункте 1.5</w:t>
        </w:r>
      </w:hyperlink>
      <w:r>
        <w:t xml:space="preserve"> ФГОС СПО.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right"/>
        <w:outlineLvl w:val="2"/>
      </w:pPr>
      <w:r>
        <w:t>Таблица N 2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</w:pPr>
      <w:bookmarkStart w:id="5" w:name="P177"/>
      <w:bookmarkEnd w:id="5"/>
      <w:r>
        <w:t>Соотнесение основных видов деятельности и квалификаций</w:t>
      </w:r>
    </w:p>
    <w:p w:rsidR="008E2C8D" w:rsidRDefault="008E2C8D">
      <w:pPr>
        <w:pStyle w:val="ConsPlusTitle"/>
        <w:jc w:val="center"/>
      </w:pPr>
      <w:r>
        <w:t>специалиста среднего звена при формировании</w:t>
      </w:r>
    </w:p>
    <w:p w:rsidR="008E2C8D" w:rsidRDefault="008E2C8D">
      <w:pPr>
        <w:pStyle w:val="ConsPlusTitle"/>
        <w:jc w:val="center"/>
      </w:pPr>
      <w:r>
        <w:t>образовательной программы</w:t>
      </w:r>
    </w:p>
    <w:p w:rsidR="008E2C8D" w:rsidRDefault="008E2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8E2C8D">
        <w:tc>
          <w:tcPr>
            <w:tcW w:w="4534" w:type="dxa"/>
          </w:tcPr>
          <w:p w:rsidR="008E2C8D" w:rsidRDefault="008E2C8D">
            <w:pPr>
              <w:pStyle w:val="ConsPlusNormal"/>
              <w:jc w:val="center"/>
            </w:pPr>
            <w:r>
              <w:t>Основные виды деятельности</w:t>
            </w:r>
          </w:p>
        </w:tc>
        <w:tc>
          <w:tcPr>
            <w:tcW w:w="4535" w:type="dxa"/>
          </w:tcPr>
          <w:p w:rsidR="008E2C8D" w:rsidRDefault="008E2C8D">
            <w:pPr>
              <w:pStyle w:val="ConsPlusNormal"/>
              <w:jc w:val="center"/>
            </w:pPr>
            <w:r>
              <w:t>Наименование квалификаци</w:t>
            </w:r>
            <w:proofErr w:type="gramStart"/>
            <w:r>
              <w:t>и(</w:t>
            </w:r>
            <w:proofErr w:type="gramEnd"/>
            <w:r>
              <w:t>й) специалиста среднего звена</w:t>
            </w:r>
          </w:p>
        </w:tc>
      </w:tr>
      <w:tr w:rsidR="008E2C8D">
        <w:tc>
          <w:tcPr>
            <w:tcW w:w="4534" w:type="dxa"/>
          </w:tcPr>
          <w:p w:rsidR="008E2C8D" w:rsidRDefault="008E2C8D">
            <w:pPr>
              <w:pStyle w:val="ConsPlusNormal"/>
              <w:jc w:val="both"/>
            </w:pPr>
            <w:r>
              <w:t>Проведение ветеринарно-санитарных и зоогигиенических мероприятий</w:t>
            </w:r>
          </w:p>
        </w:tc>
        <w:tc>
          <w:tcPr>
            <w:tcW w:w="4535" w:type="dxa"/>
          </w:tcPr>
          <w:p w:rsidR="008E2C8D" w:rsidRDefault="008E2C8D">
            <w:pPr>
              <w:pStyle w:val="ConsPlusNormal"/>
              <w:jc w:val="center"/>
            </w:pPr>
            <w:r>
              <w:t>Ветеринарный фельдшер</w:t>
            </w:r>
          </w:p>
          <w:p w:rsidR="008E2C8D" w:rsidRDefault="008E2C8D">
            <w:pPr>
              <w:pStyle w:val="ConsPlusNormal"/>
              <w:jc w:val="center"/>
            </w:pPr>
            <w:r>
              <w:t>Старший ветеринарный фельдшер</w:t>
            </w:r>
          </w:p>
        </w:tc>
      </w:tr>
      <w:tr w:rsidR="008E2C8D">
        <w:tc>
          <w:tcPr>
            <w:tcW w:w="4534" w:type="dxa"/>
          </w:tcPr>
          <w:p w:rsidR="008E2C8D" w:rsidRDefault="008E2C8D">
            <w:pPr>
              <w:pStyle w:val="ConsPlusNormal"/>
              <w:jc w:val="both"/>
            </w:pPr>
            <w:r>
              <w:lastRenderedPageBreak/>
              <w:t>Проведение профилактических, диагностических и лечебных мероприятий</w:t>
            </w:r>
          </w:p>
        </w:tc>
        <w:tc>
          <w:tcPr>
            <w:tcW w:w="4535" w:type="dxa"/>
          </w:tcPr>
          <w:p w:rsidR="008E2C8D" w:rsidRDefault="008E2C8D">
            <w:pPr>
              <w:pStyle w:val="ConsPlusNormal"/>
              <w:jc w:val="center"/>
            </w:pPr>
            <w:r>
              <w:t>Ветеринарный фельдшер</w:t>
            </w:r>
          </w:p>
          <w:p w:rsidR="008E2C8D" w:rsidRDefault="008E2C8D">
            <w:pPr>
              <w:pStyle w:val="ConsPlusNormal"/>
              <w:jc w:val="center"/>
            </w:pPr>
            <w:r>
              <w:t>Старший ветеринарный фельдшер</w:t>
            </w:r>
          </w:p>
        </w:tc>
      </w:tr>
    </w:tbl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r>
        <w:t xml:space="preserve"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деятельности, указанным в </w:t>
      </w:r>
      <w:hyperlink w:anchor="P177">
        <w:r>
          <w:rPr>
            <w:color w:val="0000FF"/>
          </w:rPr>
          <w:t>Таблице N 2</w:t>
        </w:r>
      </w:hyperlink>
      <w:r>
        <w:t xml:space="preserve"> ФГОС СПО: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3.4.1. Проведение ветеринарно-санитарных и зоогигиенических мероприятий: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ПК 1.1. Контроль санитарного и зоогигиенического состояния объектов животноводства и кормов.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ПК 1.2. Проведение ветеринарно-санитарных мероприятий для предупреждения возникновения болезней животных.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ПК 1.3. Проведение ветеринарно-санитарных мероприятий в условиях специализированных животноводческих хозяйств.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3.4.2. Проведение профилактических, диагностических и лечебных мероприятий: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ПК 2.1. Предупреждение заболеваний животных, проведение санитарно-просветительской деятельности.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ПК 2.2. Выполнение лечебно-диагностических ветеринарных манипуляций.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ПК 2.3. Выполнение лечебно-диагностических ветеринарных мероприятий в условиях специализированных животноводческих хозяйств.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3.5. Обучающиеся, осваивающие образовательную программу, осваивают также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по специальности (</w:t>
      </w:r>
      <w:hyperlink w:anchor="P280">
        <w:r>
          <w:rPr>
            <w:color w:val="0000FF"/>
          </w:rPr>
          <w:t>приложение N 2</w:t>
        </w:r>
      </w:hyperlink>
      <w:r>
        <w:t xml:space="preserve"> к ФГОС СПО).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3.6. Минимальные требования к результатам освоения основных видов деятельности образовательной программы представлены в </w:t>
      </w:r>
      <w:hyperlink w:anchor="P317">
        <w:r>
          <w:rPr>
            <w:color w:val="0000FF"/>
          </w:rPr>
          <w:t>приложении N 3</w:t>
        </w:r>
      </w:hyperlink>
      <w:r>
        <w:t xml:space="preserve"> к ФГОС СПО.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3.7.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>
        <w:t>ОК</w:t>
      </w:r>
      <w:proofErr w:type="gramEnd"/>
      <w:r>
        <w:t xml:space="preserve"> и ПК, установленных ФГОС СПО, по осваиваемой квалификации.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E2C8D" w:rsidRDefault="008E2C8D">
      <w:pPr>
        <w:pStyle w:val="ConsPlusTitle"/>
        <w:jc w:val="center"/>
      </w:pPr>
      <w:r>
        <w:t>ОБРАЗОВАТЕЛЬНОЙ ПРОГРАММЫ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</w:t>
      </w:r>
      <w:r>
        <w:lastRenderedPageBreak/>
        <w:t>предусмотренных учебным планом, с учетом ПОП.</w:t>
      </w:r>
    </w:p>
    <w:p w:rsidR="008E2C8D" w:rsidRDefault="008E2C8D">
      <w:pPr>
        <w:pStyle w:val="ConsPlusNormal"/>
        <w:jc w:val="both"/>
      </w:pPr>
      <w:r>
        <w:t xml:space="preserve">(пп. 4.2.1 в ред. </w:t>
      </w:r>
      <w:hyperlink r:id="rId3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4.2.2. </w:t>
      </w:r>
      <w:proofErr w:type="gramStart"/>
      <w:r>
        <w:t>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  <w:proofErr w:type="gramEnd"/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4.2.3. </w:t>
      </w:r>
      <w:proofErr w:type="gramStart"/>
      <w:r>
        <w:t>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  <w:proofErr w:type="gramEnd"/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>
        <w:t>ОК</w:t>
      </w:r>
      <w:proofErr w:type="gramEnd"/>
      <w:r>
        <w:t xml:space="preserve"> и ПК.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4.3.4. 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 по каждой дисциплине (модулю) из расчета одно печатное и (или) электронное учебное издание по каждой дисциплине (модулю) на одного обучающегося.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качестве</w:t>
      </w:r>
      <w:proofErr w:type="gramEnd"/>
      <w:r>
        <w:t xml:space="preserve"> основной литературы образовательная организация использует учебники, учебные пособия, предусмотренные ПОП.</w:t>
      </w:r>
    </w:p>
    <w:p w:rsidR="008E2C8D" w:rsidRDefault="008E2C8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4.3.5.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дисциплинам (модулям).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lastRenderedPageBreak/>
        <w:t>4.3.7.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8E2C8D" w:rsidRDefault="008E2C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53">
        <w:r>
          <w:rPr>
            <w:color w:val="0000FF"/>
          </w:rPr>
          <w:t>пункте 1.7</w:t>
        </w:r>
      </w:hyperlink>
      <w:r>
        <w:t xml:space="preserve"> ФГОС СПО (имеющих стаж работы в данной профессиональной области не менее 3 лет).</w:t>
      </w:r>
      <w:proofErr w:type="gramEnd"/>
    </w:p>
    <w:p w:rsidR="008E2C8D" w:rsidRDefault="008E2C8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53">
        <w:r>
          <w:rPr>
            <w:color w:val="0000FF"/>
          </w:rPr>
          <w:t>пункте 1.7</w:t>
        </w:r>
      </w:hyperlink>
      <w:r>
        <w:t xml:space="preserve"> ФГОС СПО, не реже 1 раза в 3 года с учетом расширения спектра профессиональных компетенций.</w:t>
      </w:r>
    </w:p>
    <w:p w:rsidR="008E2C8D" w:rsidRDefault="008E2C8D">
      <w:pPr>
        <w:pStyle w:val="ConsPlusNormal"/>
        <w:spacing w:before="22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53">
        <w:r>
          <w:rPr>
            <w:color w:val="0000FF"/>
          </w:rPr>
          <w:t>пункте 1.7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ind w:firstLine="540"/>
        <w:jc w:val="both"/>
        <w:outlineLvl w:val="2"/>
      </w:pPr>
      <w:r>
        <w:t>4.5. Требование к финансовым условиям реализации образовательной программы.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&lt;4&gt;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&lt;5&gt;.</w:t>
      </w:r>
    </w:p>
    <w:p w:rsidR="008E2C8D" w:rsidRDefault="008E2C8D">
      <w:pPr>
        <w:pStyle w:val="ConsPlusNormal"/>
        <w:jc w:val="both"/>
      </w:pPr>
      <w:r>
        <w:t xml:space="preserve">(п. 4.5 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&lt;4&gt; Бюджетный </w:t>
      </w:r>
      <w:hyperlink r:id="rId40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2012, N 53, ст. 7598; 2022, N 29, ст. 5262.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8E2C8D" w:rsidRDefault="008E2C8D">
      <w:pPr>
        <w:pStyle w:val="ConsPlusNormal"/>
        <w:spacing w:before="220"/>
        <w:ind w:firstLine="540"/>
        <w:jc w:val="both"/>
      </w:pPr>
      <w:r>
        <w:t xml:space="preserve">4.6.2. </w:t>
      </w:r>
      <w:proofErr w:type="gramStart"/>
      <w:r>
        <w:t>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  <w:proofErr w:type="gramEnd"/>
    </w:p>
    <w:p w:rsidR="008E2C8D" w:rsidRDefault="008E2C8D">
      <w:pPr>
        <w:pStyle w:val="ConsPlusNormal"/>
        <w:spacing w:before="220"/>
        <w:ind w:firstLine="540"/>
        <w:jc w:val="both"/>
      </w:pPr>
      <w:r>
        <w:lastRenderedPageBreak/>
        <w:t>4.6.3.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8E2C8D" w:rsidRDefault="008E2C8D">
      <w:pPr>
        <w:pStyle w:val="ConsPlusNormal"/>
        <w:jc w:val="both"/>
      </w:pPr>
      <w:r>
        <w:t xml:space="preserve">(пп. 4.6.3 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right"/>
        <w:outlineLvl w:val="1"/>
      </w:pPr>
      <w:r>
        <w:t>Приложение N 1</w:t>
      </w:r>
    </w:p>
    <w:p w:rsidR="008E2C8D" w:rsidRDefault="008E2C8D">
      <w:pPr>
        <w:pStyle w:val="ConsPlusNormal"/>
        <w:jc w:val="right"/>
      </w:pPr>
      <w:r>
        <w:t>к федеральному государственному</w:t>
      </w:r>
    </w:p>
    <w:p w:rsidR="008E2C8D" w:rsidRDefault="008E2C8D">
      <w:pPr>
        <w:pStyle w:val="ConsPlusNormal"/>
        <w:jc w:val="right"/>
      </w:pPr>
      <w:r>
        <w:t>образовательному стандарту</w:t>
      </w:r>
    </w:p>
    <w:p w:rsidR="008E2C8D" w:rsidRDefault="008E2C8D">
      <w:pPr>
        <w:pStyle w:val="ConsPlusNormal"/>
        <w:jc w:val="right"/>
      </w:pPr>
      <w:r>
        <w:t>среднего профессионального образования</w:t>
      </w:r>
    </w:p>
    <w:p w:rsidR="008E2C8D" w:rsidRDefault="008E2C8D">
      <w:pPr>
        <w:pStyle w:val="ConsPlusNormal"/>
        <w:jc w:val="right"/>
      </w:pPr>
      <w:r>
        <w:t>по специальности 36.02.01 Ветеринария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</w:pPr>
      <w:bookmarkStart w:id="6" w:name="P257"/>
      <w:bookmarkEnd w:id="6"/>
      <w:r>
        <w:t>ПЕРЕЧЕНЬ</w:t>
      </w:r>
    </w:p>
    <w:p w:rsidR="008E2C8D" w:rsidRDefault="008E2C8D">
      <w:pPr>
        <w:pStyle w:val="ConsPlusTitle"/>
        <w:jc w:val="center"/>
      </w:pPr>
      <w:r>
        <w:t>ПРОФЕССИОНАЛЬНЫХ СТАНДАРТОВ, СООТВЕТСТВУЮЩИХ</w:t>
      </w:r>
    </w:p>
    <w:p w:rsidR="008E2C8D" w:rsidRDefault="008E2C8D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8E2C8D" w:rsidRDefault="008E2C8D">
      <w:pPr>
        <w:pStyle w:val="ConsPlusTitle"/>
        <w:jc w:val="center"/>
      </w:pPr>
      <w:r>
        <w:t>ПРОГРАММЫ СРЕДНЕГО ПРОФЕССИОНАЛЬНОГО ОБРАЗОВАНИЯ</w:t>
      </w:r>
    </w:p>
    <w:p w:rsidR="008E2C8D" w:rsidRDefault="008E2C8D">
      <w:pPr>
        <w:pStyle w:val="ConsPlusTitle"/>
        <w:jc w:val="center"/>
      </w:pPr>
      <w:r>
        <w:t>ПО СПЕЦИАЛЬНОСТИ 36.02.01 ВЕТЕРИНАРИЯ</w:t>
      </w:r>
    </w:p>
    <w:p w:rsidR="008E2C8D" w:rsidRDefault="008E2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6406"/>
      </w:tblGrid>
      <w:tr w:rsidR="008E2C8D">
        <w:tc>
          <w:tcPr>
            <w:tcW w:w="2664" w:type="dxa"/>
          </w:tcPr>
          <w:p w:rsidR="008E2C8D" w:rsidRDefault="008E2C8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8E2C8D" w:rsidRDefault="008E2C8D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8E2C8D">
        <w:tc>
          <w:tcPr>
            <w:tcW w:w="2664" w:type="dxa"/>
          </w:tcPr>
          <w:p w:rsidR="008E2C8D" w:rsidRDefault="008E2C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8E2C8D" w:rsidRDefault="008E2C8D">
            <w:pPr>
              <w:pStyle w:val="ConsPlusNormal"/>
              <w:jc w:val="center"/>
            </w:pPr>
            <w:r>
              <w:t>2</w:t>
            </w:r>
          </w:p>
        </w:tc>
      </w:tr>
      <w:tr w:rsidR="008E2C8D">
        <w:tc>
          <w:tcPr>
            <w:tcW w:w="2664" w:type="dxa"/>
          </w:tcPr>
          <w:p w:rsidR="008E2C8D" w:rsidRDefault="008E2C8D">
            <w:pPr>
              <w:pStyle w:val="ConsPlusNormal"/>
            </w:pPr>
            <w:r>
              <w:t>13.019</w:t>
            </w:r>
          </w:p>
        </w:tc>
        <w:tc>
          <w:tcPr>
            <w:tcW w:w="6406" w:type="dxa"/>
          </w:tcPr>
          <w:p w:rsidR="008E2C8D" w:rsidRDefault="008E2C8D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"Ветеринарный фельдшер", утвержденный приказом Министерства труда и социальной защиты Российской Федерации от 21 декабря 2015 г. N 1079н (зарегистрирован Министерством юстиции Российской Федерации 25 января 2016 г., регистрационный N 40744)</w:t>
            </w:r>
          </w:p>
        </w:tc>
      </w:tr>
    </w:tbl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right"/>
        <w:outlineLvl w:val="1"/>
      </w:pPr>
      <w:r>
        <w:t>Приложение N 2</w:t>
      </w:r>
    </w:p>
    <w:p w:rsidR="008E2C8D" w:rsidRDefault="008E2C8D">
      <w:pPr>
        <w:pStyle w:val="ConsPlusNormal"/>
        <w:jc w:val="right"/>
      </w:pPr>
      <w:r>
        <w:t>к федеральному государственному</w:t>
      </w:r>
    </w:p>
    <w:p w:rsidR="008E2C8D" w:rsidRDefault="008E2C8D">
      <w:pPr>
        <w:pStyle w:val="ConsPlusNormal"/>
        <w:jc w:val="right"/>
      </w:pPr>
      <w:r>
        <w:t>образовательному стандарту</w:t>
      </w:r>
    </w:p>
    <w:p w:rsidR="008E2C8D" w:rsidRDefault="008E2C8D">
      <w:pPr>
        <w:pStyle w:val="ConsPlusNormal"/>
        <w:jc w:val="right"/>
      </w:pPr>
      <w:r>
        <w:t>среднего профессионального образования</w:t>
      </w:r>
    </w:p>
    <w:p w:rsidR="008E2C8D" w:rsidRDefault="008E2C8D">
      <w:pPr>
        <w:pStyle w:val="ConsPlusNormal"/>
        <w:jc w:val="right"/>
      </w:pPr>
      <w:r>
        <w:t>по специальности 36.02.01 Ветеринария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</w:pPr>
      <w:bookmarkStart w:id="7" w:name="P280"/>
      <w:bookmarkEnd w:id="7"/>
      <w:r>
        <w:t>ПЕРЕЧЕНЬ</w:t>
      </w:r>
    </w:p>
    <w:p w:rsidR="008E2C8D" w:rsidRDefault="008E2C8D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8E2C8D" w:rsidRDefault="008E2C8D">
      <w:pPr>
        <w:pStyle w:val="ConsPlusTitle"/>
        <w:jc w:val="center"/>
      </w:pPr>
      <w:r>
        <w:t xml:space="preserve">К ОСВОЕНИЮ В </w:t>
      </w:r>
      <w:proofErr w:type="gramStart"/>
      <w:r>
        <w:t>РАМКАХ</w:t>
      </w:r>
      <w:proofErr w:type="gramEnd"/>
      <w:r>
        <w:t xml:space="preserve"> ПРОГРАММЫ ПОДГОТОВКИ СПЕЦИАЛИСТОВ</w:t>
      </w:r>
    </w:p>
    <w:p w:rsidR="008E2C8D" w:rsidRDefault="008E2C8D">
      <w:pPr>
        <w:pStyle w:val="ConsPlusTitle"/>
        <w:jc w:val="center"/>
      </w:pPr>
      <w:r>
        <w:t>СРЕДНЕГО ЗВЕНА ПО СПЕЦИАЛЬНОСТИ 36.02.01 ВЕТЕРИНАРИЯ</w:t>
      </w:r>
    </w:p>
    <w:p w:rsidR="008E2C8D" w:rsidRDefault="008E2C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2C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8D" w:rsidRDefault="008E2C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8D" w:rsidRDefault="008E2C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C8D" w:rsidRDefault="008E2C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C8D" w:rsidRDefault="008E2C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8D" w:rsidRDefault="008E2C8D">
            <w:pPr>
              <w:pStyle w:val="ConsPlusNormal"/>
            </w:pPr>
          </w:p>
        </w:tc>
      </w:tr>
    </w:tbl>
    <w:p w:rsidR="008E2C8D" w:rsidRDefault="008E2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8E2C8D">
        <w:tc>
          <w:tcPr>
            <w:tcW w:w="4819" w:type="dxa"/>
          </w:tcPr>
          <w:p w:rsidR="008E2C8D" w:rsidRDefault="008E2C8D">
            <w:pPr>
              <w:pStyle w:val="ConsPlusNormal"/>
              <w:jc w:val="center"/>
            </w:pPr>
            <w:r>
              <w:lastRenderedPageBreak/>
              <w:t xml:space="preserve">Код по Перечню профессий рабочих, должностей служащих, по которым осуществляется профессиональное обучение </w:t>
            </w:r>
            <w:hyperlink w:anchor="P30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252" w:type="dxa"/>
          </w:tcPr>
          <w:p w:rsidR="008E2C8D" w:rsidRDefault="008E2C8D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8E2C8D">
        <w:tc>
          <w:tcPr>
            <w:tcW w:w="4819" w:type="dxa"/>
          </w:tcPr>
          <w:p w:rsidR="008E2C8D" w:rsidRDefault="008E2C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8E2C8D" w:rsidRDefault="008E2C8D">
            <w:pPr>
              <w:pStyle w:val="ConsPlusNormal"/>
              <w:jc w:val="center"/>
            </w:pPr>
            <w:r>
              <w:t>2</w:t>
            </w:r>
          </w:p>
        </w:tc>
      </w:tr>
      <w:tr w:rsidR="008E2C8D">
        <w:tc>
          <w:tcPr>
            <w:tcW w:w="4819" w:type="dxa"/>
          </w:tcPr>
          <w:p w:rsidR="008E2C8D" w:rsidRDefault="008E2C8D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15259</w:t>
              </w:r>
            </w:hyperlink>
          </w:p>
        </w:tc>
        <w:tc>
          <w:tcPr>
            <w:tcW w:w="4252" w:type="dxa"/>
          </w:tcPr>
          <w:p w:rsidR="008E2C8D" w:rsidRDefault="008E2C8D">
            <w:pPr>
              <w:pStyle w:val="ConsPlusNormal"/>
              <w:jc w:val="center"/>
            </w:pPr>
            <w:r>
              <w:t>Обработчик ветсанбрака</w:t>
            </w:r>
          </w:p>
        </w:tc>
      </w:tr>
      <w:tr w:rsidR="008E2C8D">
        <w:tc>
          <w:tcPr>
            <w:tcW w:w="4819" w:type="dxa"/>
          </w:tcPr>
          <w:p w:rsidR="008E2C8D" w:rsidRDefault="008E2C8D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15808</w:t>
              </w:r>
            </w:hyperlink>
          </w:p>
        </w:tc>
        <w:tc>
          <w:tcPr>
            <w:tcW w:w="4252" w:type="dxa"/>
          </w:tcPr>
          <w:p w:rsidR="008E2C8D" w:rsidRDefault="008E2C8D">
            <w:pPr>
              <w:pStyle w:val="ConsPlusNormal"/>
              <w:jc w:val="center"/>
            </w:pPr>
            <w:r>
              <w:t>Оператор по ветеринарной обработке животных</w:t>
            </w:r>
          </w:p>
        </w:tc>
      </w:tr>
      <w:tr w:rsidR="008E2C8D">
        <w:tc>
          <w:tcPr>
            <w:tcW w:w="4819" w:type="dxa"/>
          </w:tcPr>
          <w:p w:rsidR="008E2C8D" w:rsidRDefault="008E2C8D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15830</w:t>
              </w:r>
            </w:hyperlink>
          </w:p>
        </w:tc>
        <w:tc>
          <w:tcPr>
            <w:tcW w:w="4252" w:type="dxa"/>
          </w:tcPr>
          <w:p w:rsidR="008E2C8D" w:rsidRDefault="008E2C8D">
            <w:pPr>
              <w:pStyle w:val="ConsPlusNormal"/>
              <w:jc w:val="center"/>
            </w:pPr>
            <w:r>
              <w:t>Оператор по искусственному осеменению животных и птицы</w:t>
            </w:r>
          </w:p>
        </w:tc>
      </w:tr>
      <w:tr w:rsidR="008E2C8D">
        <w:tc>
          <w:tcPr>
            <w:tcW w:w="4819" w:type="dxa"/>
          </w:tcPr>
          <w:p w:rsidR="008E2C8D" w:rsidRDefault="008E2C8D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16955</w:t>
              </w:r>
            </w:hyperlink>
          </w:p>
        </w:tc>
        <w:tc>
          <w:tcPr>
            <w:tcW w:w="4252" w:type="dxa"/>
          </w:tcPr>
          <w:p w:rsidR="008E2C8D" w:rsidRDefault="008E2C8D">
            <w:pPr>
              <w:pStyle w:val="ConsPlusNormal"/>
              <w:jc w:val="center"/>
            </w:pPr>
            <w:r>
              <w:t>Препаратор ветеринарный</w:t>
            </w:r>
          </w:p>
        </w:tc>
      </w:tr>
      <w:tr w:rsidR="008E2C8D">
        <w:tc>
          <w:tcPr>
            <w:tcW w:w="4819" w:type="dxa"/>
          </w:tcPr>
          <w:p w:rsidR="008E2C8D" w:rsidRDefault="008E2C8D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18111</w:t>
              </w:r>
            </w:hyperlink>
          </w:p>
        </w:tc>
        <w:tc>
          <w:tcPr>
            <w:tcW w:w="4252" w:type="dxa"/>
          </w:tcPr>
          <w:p w:rsidR="008E2C8D" w:rsidRDefault="008E2C8D">
            <w:pPr>
              <w:pStyle w:val="ConsPlusNormal"/>
              <w:jc w:val="center"/>
            </w:pPr>
            <w:r>
              <w:t>Санитар ветеринарный</w:t>
            </w:r>
          </w:p>
        </w:tc>
      </w:tr>
      <w:tr w:rsidR="008E2C8D">
        <w:tc>
          <w:tcPr>
            <w:tcW w:w="4819" w:type="dxa"/>
          </w:tcPr>
          <w:p w:rsidR="008E2C8D" w:rsidRDefault="008E2C8D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18322</w:t>
              </w:r>
            </w:hyperlink>
          </w:p>
        </w:tc>
        <w:tc>
          <w:tcPr>
            <w:tcW w:w="4252" w:type="dxa"/>
          </w:tcPr>
          <w:p w:rsidR="008E2C8D" w:rsidRDefault="008E2C8D">
            <w:pPr>
              <w:pStyle w:val="ConsPlusNormal"/>
              <w:jc w:val="center"/>
            </w:pPr>
            <w:r>
              <w:t>Сборщик эндокринно-ферментного сырья</w:t>
            </w:r>
          </w:p>
        </w:tc>
      </w:tr>
    </w:tbl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ind w:firstLine="540"/>
        <w:jc w:val="both"/>
      </w:pPr>
      <w:r>
        <w:t>--------------------------------</w:t>
      </w:r>
    </w:p>
    <w:bookmarkStart w:id="8" w:name="P305"/>
    <w:bookmarkEnd w:id="8"/>
    <w:p w:rsidR="008E2C8D" w:rsidRDefault="008E2C8D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"https://login.consultant.ru/link/?req=doc&amp;base=LAW&amp;n=428629&amp;dst=105408" \h </w:instrText>
      </w:r>
      <w:r>
        <w:fldChar w:fldCharType="separate"/>
      </w:r>
      <w:proofErr w:type="gramStart"/>
      <w:r>
        <w:rPr>
          <w:color w:val="0000FF"/>
        </w:rPr>
        <w:t>&lt;6&gt;</w:t>
      </w:r>
      <w:r>
        <w:rPr>
          <w:color w:val="0000FF"/>
        </w:rPr>
        <w:fldChar w:fldCharType="end"/>
      </w:r>
      <w:r>
        <w:t xml:space="preserve"> </w:t>
      </w:r>
      <w:hyperlink r:id="rId50">
        <w:r>
          <w:rPr>
            <w:color w:val="0000FF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31953), от 27 июня 2014 г. N 695 (зарегистрирован Министерством юстиции Российской Федерации 22 июля 2014 г., регистрационный N 33205), от 3 февраля 2017 г. N 106 (зарегистрирован Министерством юстиции Российской Федерации 11 апреля 2017</w:t>
      </w:r>
      <w:proofErr w:type="gramEnd"/>
      <w:r>
        <w:t xml:space="preserve"> г., регистрационный N 46339), и приказами Министерства просвещения Российской Федерации от 12 ноября 2018 г. N 201 (зарегистрирован Министерством юстиции Российской Федерации 3 декабря 2018 г., регистрационный N 52852) и от 25 апреля 2019 г. N 208 (зарегистрирован Министерством юстиции Российской Федерации 24 июня 2019 г., регистрационный N 55009).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right"/>
        <w:outlineLvl w:val="1"/>
      </w:pPr>
      <w:r>
        <w:t>Приложение N 3</w:t>
      </w:r>
    </w:p>
    <w:p w:rsidR="008E2C8D" w:rsidRDefault="008E2C8D">
      <w:pPr>
        <w:pStyle w:val="ConsPlusNormal"/>
        <w:jc w:val="right"/>
      </w:pPr>
      <w:r>
        <w:t>к федеральному государственному</w:t>
      </w:r>
    </w:p>
    <w:p w:rsidR="008E2C8D" w:rsidRDefault="008E2C8D">
      <w:pPr>
        <w:pStyle w:val="ConsPlusNormal"/>
        <w:jc w:val="right"/>
      </w:pPr>
      <w:r>
        <w:t>образовательному стандарту</w:t>
      </w:r>
    </w:p>
    <w:p w:rsidR="008E2C8D" w:rsidRDefault="008E2C8D">
      <w:pPr>
        <w:pStyle w:val="ConsPlusNormal"/>
        <w:jc w:val="right"/>
      </w:pPr>
      <w:r>
        <w:t>среднего профессионального образования</w:t>
      </w:r>
    </w:p>
    <w:p w:rsidR="008E2C8D" w:rsidRDefault="008E2C8D">
      <w:pPr>
        <w:pStyle w:val="ConsPlusNormal"/>
        <w:jc w:val="right"/>
      </w:pPr>
      <w:r>
        <w:t>по специальности 36.02.01 Ветеринария</w:t>
      </w: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Title"/>
        <w:jc w:val="center"/>
      </w:pPr>
      <w:bookmarkStart w:id="9" w:name="P317"/>
      <w:bookmarkEnd w:id="9"/>
      <w:r>
        <w:t>МИНИМАЛЬНЫЕ ТРЕБОВАНИЯ</w:t>
      </w:r>
    </w:p>
    <w:p w:rsidR="008E2C8D" w:rsidRDefault="008E2C8D">
      <w:pPr>
        <w:pStyle w:val="ConsPlusTitle"/>
        <w:jc w:val="center"/>
      </w:pPr>
      <w:r>
        <w:t>К РЕЗУЛЬТАТАМ ОСВОЕНИЯ ОСНОВНЫХ ВИДОВ ДЕЯТЕЛЬНОСТИ</w:t>
      </w:r>
    </w:p>
    <w:p w:rsidR="008E2C8D" w:rsidRDefault="008E2C8D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8E2C8D" w:rsidRDefault="008E2C8D">
      <w:pPr>
        <w:pStyle w:val="ConsPlusTitle"/>
        <w:jc w:val="center"/>
      </w:pPr>
      <w:r>
        <w:t>ОБРАЗОВАНИЯ ПО СПЕЦИАЛЬНОСТИ 36.02.01 ВЕТЕРИНАРИЯ</w:t>
      </w:r>
    </w:p>
    <w:p w:rsidR="008E2C8D" w:rsidRDefault="008E2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6520"/>
      </w:tblGrid>
      <w:tr w:rsidR="008E2C8D"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E2C8D" w:rsidRDefault="008E2C8D">
            <w:pPr>
              <w:pStyle w:val="ConsPlusNormal"/>
              <w:jc w:val="center"/>
            </w:pPr>
            <w:r>
              <w:t xml:space="preserve">Основной вид </w:t>
            </w:r>
            <w:r>
              <w:lastRenderedPageBreak/>
              <w:t>деятельности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E2C8D" w:rsidRDefault="008E2C8D">
            <w:pPr>
              <w:pStyle w:val="ConsPlusNormal"/>
              <w:jc w:val="center"/>
            </w:pPr>
            <w:r>
              <w:lastRenderedPageBreak/>
              <w:t>Требования к знаниям, умениям, практическому опыту</w:t>
            </w:r>
          </w:p>
        </w:tc>
      </w:tr>
      <w:tr w:rsidR="008E2C8D">
        <w:tblPrEx>
          <w:tblBorders>
            <w:insideH w:val="none" w:sz="0" w:space="0" w:color="auto"/>
          </w:tblBorders>
        </w:tblPrEx>
        <w:tc>
          <w:tcPr>
            <w:tcW w:w="2554" w:type="dxa"/>
            <w:tcBorders>
              <w:top w:val="single" w:sz="4" w:space="0" w:color="auto"/>
              <w:bottom w:val="nil"/>
            </w:tcBorders>
          </w:tcPr>
          <w:p w:rsidR="008E2C8D" w:rsidRDefault="008E2C8D">
            <w:pPr>
              <w:pStyle w:val="ConsPlusNormal"/>
            </w:pPr>
            <w:r>
              <w:lastRenderedPageBreak/>
              <w:t>Проведение ветеринарно-санитарных и зоогигиенических мероприятий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8E2C8D" w:rsidRDefault="008E2C8D">
            <w:pPr>
              <w:pStyle w:val="ConsPlusNormal"/>
              <w:jc w:val="both"/>
            </w:pPr>
            <w:r>
              <w:t>знать: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нормативные зоогигиенические и ветеринарно-санитарные показатели в животноводстве;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ветеринарно-санитарные и зоогигиенические требования к условиям содержания и кормления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правила отбора проб кормов, смывов, материалов для лабораторных исследований;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методы дезинфекции, дезинсекции и дератизации объектов животноводства;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методы стерилизации ветеринарного инструментария;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правила сбора и утилизации трупов животных и биологических отходов;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правила утилизации ветеринарных препаратов;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методы проведения исследований биологического материала, продуктов и сырья животного и растительного происхождения с целью предупреждения возникновения болезней;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методы предубойного осмотра животных и послеубойного ветеринарно-санитарного осмотра туш и органов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нормативные акты в области ветеринарии;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требования охраны труда;</w:t>
            </w:r>
          </w:p>
        </w:tc>
      </w:tr>
      <w:tr w:rsidR="008E2C8D">
        <w:tblPrEx>
          <w:tblBorders>
            <w:insideH w:val="none" w:sz="0" w:space="0" w:color="auto"/>
          </w:tblBorders>
        </w:tblPrEx>
        <w:tc>
          <w:tcPr>
            <w:tcW w:w="2554" w:type="dxa"/>
            <w:tcBorders>
              <w:top w:val="nil"/>
              <w:bottom w:val="nil"/>
            </w:tcBorders>
          </w:tcPr>
          <w:p w:rsidR="008E2C8D" w:rsidRDefault="008E2C8D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8E2C8D" w:rsidRDefault="008E2C8D">
            <w:pPr>
              <w:pStyle w:val="ConsPlusNormal"/>
              <w:jc w:val="both"/>
            </w:pPr>
            <w:r>
              <w:t>уметь: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определять органолептически, визуально и по показателям отклонения от нормы зоогигиенических параметров на объектах животноводства;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использовать метрологическое оборудование для определения показателей микроклимата;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использовать средства индивидуальной защиты работниками животноводческих объектов;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использовать оборудование, предназначенное для санации животноводческих помещений;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пользоваться техническими средствами и методами для проведения стерилизации;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готовить рабочие растворы сре</w:t>
            </w:r>
            <w:proofErr w:type="gramStart"/>
            <w:r>
              <w:t>дств пр</w:t>
            </w:r>
            <w:proofErr w:type="gramEnd"/>
            <w:r>
              <w:t>оведения ветеринарно-санитарных мероприятий согласно инструкциям и наставлениям с соблюдением правил безопасности;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применять нормативные требования в области ветеринарии;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интерпретировать результаты предубойного осмотра животных и послеубойного ветеринарно-санитарного осмотра туш и органов животных;</w:t>
            </w:r>
          </w:p>
        </w:tc>
      </w:tr>
      <w:tr w:rsidR="008E2C8D">
        <w:tblPrEx>
          <w:tblBorders>
            <w:insideH w:val="none" w:sz="0" w:space="0" w:color="auto"/>
          </w:tblBorders>
        </w:tblPrEx>
        <w:tc>
          <w:tcPr>
            <w:tcW w:w="2554" w:type="dxa"/>
            <w:tcBorders>
              <w:top w:val="nil"/>
              <w:bottom w:val="single" w:sz="4" w:space="0" w:color="auto"/>
            </w:tcBorders>
          </w:tcPr>
          <w:p w:rsidR="008E2C8D" w:rsidRDefault="008E2C8D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8E2C8D" w:rsidRDefault="008E2C8D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контроле</w:t>
            </w:r>
            <w:proofErr w:type="gramEnd"/>
            <w:r>
              <w:t xml:space="preserve"> санитарных и зоогигиенических параметров в животноводческих и птицеводческих помещениях;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проверке санитарного состояния пастбищ и мест водопоя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контроле</w:t>
            </w:r>
            <w:proofErr w:type="gramEnd"/>
            <w:r>
              <w:t xml:space="preserve"> санитарных показателей различных видов кормов для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отборе</w:t>
            </w:r>
            <w:proofErr w:type="gramEnd"/>
            <w:r>
              <w:t xml:space="preserve"> материала для лабораторных исследований;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проверке сре</w:t>
            </w:r>
            <w:proofErr w:type="gramStart"/>
            <w:r>
              <w:t>дств дл</w:t>
            </w:r>
            <w:proofErr w:type="gramEnd"/>
            <w:r>
              <w:t>я транспортировки животных на предмет соответствия ветеринарно-санитарным правилам;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оформлении</w:t>
            </w:r>
            <w:proofErr w:type="gramEnd"/>
            <w:r>
              <w:t xml:space="preserve"> результатов контроля;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lastRenderedPageBreak/>
              <w:t xml:space="preserve">осуществлении </w:t>
            </w:r>
            <w:proofErr w:type="gramStart"/>
            <w:r>
              <w:t>контроля соблюдения правил использования средств индивидуальной защиты</w:t>
            </w:r>
            <w:proofErr w:type="gramEnd"/>
            <w:r>
              <w:t xml:space="preserve"> и гигиенических норм работниками, занятыми в животноводстве;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дезинфекции животноводческих и птицеводческих помещений, мест временного содержания животных и птицы, оборудования, инвентаря и агрегатов, используемых в животноводстве и птицеводстве;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дезинсекции и дератизации животноводческих и птицеводческих объектов;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утилизации трупов животных, биологических отходов и ветеринарных препаратов;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стерилизации ветеринарного инструментария;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подготовке сре</w:t>
            </w:r>
            <w:proofErr w:type="gramStart"/>
            <w:r>
              <w:t>дств дл</w:t>
            </w:r>
            <w:proofErr w:type="gramEnd"/>
            <w:r>
              <w:t>я выполнения ветеринарно-санитарных мероприятий и соответствующего инструментария в зависимости от условий микроклимата и условий среды;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 xml:space="preserve">предубойном </w:t>
            </w:r>
            <w:proofErr w:type="gramStart"/>
            <w:r>
              <w:t>осмотре</w:t>
            </w:r>
            <w:proofErr w:type="gramEnd"/>
            <w:r>
              <w:t xml:space="preserve"> животных и послеубойном ветеринарно-санитарном осмотре туш и органов животных.</w:t>
            </w:r>
          </w:p>
        </w:tc>
      </w:tr>
      <w:tr w:rsidR="008E2C8D">
        <w:tblPrEx>
          <w:tblBorders>
            <w:insideH w:val="none" w:sz="0" w:space="0" w:color="auto"/>
          </w:tblBorders>
        </w:tblPrEx>
        <w:tc>
          <w:tcPr>
            <w:tcW w:w="2554" w:type="dxa"/>
            <w:tcBorders>
              <w:top w:val="single" w:sz="4" w:space="0" w:color="auto"/>
              <w:bottom w:val="nil"/>
            </w:tcBorders>
          </w:tcPr>
          <w:p w:rsidR="008E2C8D" w:rsidRDefault="008E2C8D">
            <w:pPr>
              <w:pStyle w:val="ConsPlusNormal"/>
            </w:pPr>
            <w:r>
              <w:lastRenderedPageBreak/>
              <w:t>Проведение профилактических, диагностических и лечебных мероприятий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8E2C8D" w:rsidRDefault="008E2C8D">
            <w:pPr>
              <w:pStyle w:val="ConsPlusNormal"/>
              <w:jc w:val="both"/>
            </w:pPr>
            <w:r>
              <w:t>знать: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меры профилактики заболеваний животных различной этиологии;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основные методы и формы санитарно-просветительской деятельности;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правила применения биологических и противопаразитарных препаратов;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правила отбора и хранения биологического материала;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основы полноценного кормления животных и последствия его несоблюдения;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основные нормативные акты в области ветеринарии, действующие на территории Российской Федерации;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основы ветеринарного делопроизводства, учета и отчетности в ветеринарии;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анатомо-топографические характеристики организма животных с учетом видовых особенностей;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нормативные данные физиологических показателей у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морфологические и биологические характеристики возбудителей инфекционных и инвазионных заболеваний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методы диагностики и лечения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фармакологические свойства основных групп ветеринарных препаратов;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правила хранения и использования лекарственных средств ветеринарного назначения;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правила применения диагностических препаратов;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методы кастрации животных и родовспоможения животным;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основы механизмов развития и течения заболеваний у животных различной этиологии;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правила асептики и антисептики;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критерии оценки эффективности терапии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правила ветеринарного документооборота;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требования охраны труда;</w:t>
            </w:r>
          </w:p>
        </w:tc>
      </w:tr>
      <w:tr w:rsidR="008E2C8D">
        <w:tblPrEx>
          <w:tblBorders>
            <w:insideH w:val="none" w:sz="0" w:space="0" w:color="auto"/>
          </w:tblBorders>
        </w:tblPrEx>
        <w:tc>
          <w:tcPr>
            <w:tcW w:w="2554" w:type="dxa"/>
            <w:tcBorders>
              <w:top w:val="nil"/>
              <w:bottom w:val="nil"/>
            </w:tcBorders>
          </w:tcPr>
          <w:p w:rsidR="008E2C8D" w:rsidRDefault="008E2C8D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8E2C8D" w:rsidRDefault="008E2C8D">
            <w:pPr>
              <w:pStyle w:val="ConsPlusNormal"/>
              <w:jc w:val="both"/>
            </w:pPr>
            <w:r>
              <w:t>уметь: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готовить к использованию биопрепараты в соответствии с инструкциями по их применению;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пользоваться техникой постановки аллергических проб;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пользоваться техникой введения биопрепаратов;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готовить средства для дезинфекции;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производить оценку рациона кормления для животных различных видов;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определять клиническое состояние животных общими и инструментальными методами;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пользоваться ветеринарной терапевтической техникой;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использовать терапевтический и диагностический ветеринарный инструментарий;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применять ветеринарные фармакологические средства;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вскрывать трупы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анализировать и интерпретировать результаты диагностических и терапевтических манипуляций;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подбирать инструментарий и лекарственные средства для проведения диагностики и терапии животных;</w:t>
            </w:r>
          </w:p>
        </w:tc>
      </w:tr>
      <w:tr w:rsidR="008E2C8D">
        <w:tblPrEx>
          <w:tblBorders>
            <w:insideH w:val="none" w:sz="0" w:space="0" w:color="auto"/>
          </w:tblBorders>
        </w:tblPrEx>
        <w:tc>
          <w:tcPr>
            <w:tcW w:w="2554" w:type="dxa"/>
            <w:tcBorders>
              <w:top w:val="nil"/>
              <w:bottom w:val="single" w:sz="4" w:space="0" w:color="auto"/>
            </w:tcBorders>
          </w:tcPr>
          <w:p w:rsidR="008E2C8D" w:rsidRDefault="008E2C8D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8E2C8D" w:rsidRDefault="008E2C8D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иммунизации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отборе</w:t>
            </w:r>
            <w:proofErr w:type="gramEnd"/>
            <w:r>
              <w:t xml:space="preserve"> проб биологического материала от животных, кормов и воды, их упаковка и подготовка для исследований;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постановке аллергических проб у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противопаразитарных обработок;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оценке рационов кормления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ведении</w:t>
            </w:r>
            <w:proofErr w:type="gramEnd"/>
            <w:r>
              <w:t xml:space="preserve"> ветеринарной отчетности и учета;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подготовке животных к проведению диагностических и терапевтических манипуляций;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обследования общего и физиологического состояния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инструментального обследования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диспансеризации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установлении</w:t>
            </w:r>
            <w:proofErr w:type="gramEnd"/>
            <w:r>
              <w:t xml:space="preserve"> клинического диагноза по результатам проведенных диагностических мероприятий;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терапии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произведении</w:t>
            </w:r>
            <w:proofErr w:type="gramEnd"/>
            <w:r>
              <w:t xml:space="preserve"> акушерской помощи животным по родовспоможению;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кастрации животных и косметических хирургических операций;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патологоанатомического вскрытия трупов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r>
              <w:t>оценке эффективности индивидуальной и групповой терапии у животных;</w:t>
            </w:r>
          </w:p>
          <w:p w:rsidR="008E2C8D" w:rsidRDefault="008E2C8D">
            <w:pPr>
              <w:pStyle w:val="ConsPlusNormal"/>
              <w:ind w:firstLine="283"/>
              <w:jc w:val="both"/>
            </w:pPr>
            <w:proofErr w:type="gramStart"/>
            <w:r>
              <w:t>оформлении</w:t>
            </w:r>
            <w:proofErr w:type="gramEnd"/>
            <w:r>
              <w:t xml:space="preserve"> результатов выполнения диагностических и терапевтических манипуляций.</w:t>
            </w:r>
          </w:p>
        </w:tc>
      </w:tr>
    </w:tbl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jc w:val="both"/>
      </w:pPr>
    </w:p>
    <w:p w:rsidR="008E2C8D" w:rsidRDefault="008E2C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10" w:name="_GoBack"/>
      <w:bookmarkEnd w:id="10"/>
    </w:p>
    <w:sectPr w:rsidR="006A0E77" w:rsidSect="0029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8D"/>
    <w:rsid w:val="006A0E77"/>
    <w:rsid w:val="008E2C8D"/>
    <w:rsid w:val="00B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2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2C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2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2C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90&amp;dst=108837" TargetMode="External"/><Relationship Id="rId18" Type="http://schemas.openxmlformats.org/officeDocument/2006/relationships/hyperlink" Target="https://login.consultant.ru/link/?req=doc&amp;base=LAW&amp;n=470946&amp;dst=4" TargetMode="External"/><Relationship Id="rId26" Type="http://schemas.openxmlformats.org/officeDocument/2006/relationships/hyperlink" Target="https://login.consultant.ru/link/?req=doc&amp;base=LAW&amp;n=411930&amp;dst=100030" TargetMode="External"/><Relationship Id="rId39" Type="http://schemas.openxmlformats.org/officeDocument/2006/relationships/hyperlink" Target="https://login.consultant.ru/link/?req=doc&amp;base=LAW&amp;n=428629&amp;dst=105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336&amp;dst=100216" TargetMode="External"/><Relationship Id="rId34" Type="http://schemas.openxmlformats.org/officeDocument/2006/relationships/hyperlink" Target="https://login.consultant.ru/link/?req=doc&amp;base=LAW&amp;n=428629&amp;dst=105391" TargetMode="External"/><Relationship Id="rId42" Type="http://schemas.openxmlformats.org/officeDocument/2006/relationships/hyperlink" Target="https://login.consultant.ru/link/?req=doc&amp;base=LAW&amp;n=193397&amp;dst=100009" TargetMode="External"/><Relationship Id="rId47" Type="http://schemas.openxmlformats.org/officeDocument/2006/relationships/hyperlink" Target="https://login.consultant.ru/link/?req=doc&amp;base=LAW&amp;n=389823&amp;dst=118621" TargetMode="External"/><Relationship Id="rId50" Type="http://schemas.openxmlformats.org/officeDocument/2006/relationships/hyperlink" Target="https://login.consultant.ru/link/?req=doc&amp;base=LAW&amp;n=389823&amp;dst=100012" TargetMode="External"/><Relationship Id="rId7" Type="http://schemas.openxmlformats.org/officeDocument/2006/relationships/hyperlink" Target="https://login.consultant.ru/link/?req=doc&amp;base=LAW&amp;n=483090&amp;dst=108836" TargetMode="External"/><Relationship Id="rId12" Type="http://schemas.openxmlformats.org/officeDocument/2006/relationships/hyperlink" Target="https://login.consultant.ru/link/?req=doc&amp;base=LAW&amp;n=483090&amp;dst=108836" TargetMode="External"/><Relationship Id="rId17" Type="http://schemas.openxmlformats.org/officeDocument/2006/relationships/hyperlink" Target="https://login.consultant.ru/link/?req=doc&amp;base=LAW&amp;n=483090&amp;dst=108839" TargetMode="External"/><Relationship Id="rId25" Type="http://schemas.openxmlformats.org/officeDocument/2006/relationships/hyperlink" Target="https://login.consultant.ru/link/?req=doc&amp;base=LAW&amp;n=483090&amp;dst=108847" TargetMode="External"/><Relationship Id="rId33" Type="http://schemas.openxmlformats.org/officeDocument/2006/relationships/hyperlink" Target="https://login.consultant.ru/link/?req=doc&amp;base=LAW&amp;n=483090&amp;dst=108864" TargetMode="External"/><Relationship Id="rId38" Type="http://schemas.openxmlformats.org/officeDocument/2006/relationships/hyperlink" Target="https://login.consultant.ru/link/?req=doc&amp;base=LAW&amp;n=470336" TargetMode="External"/><Relationship Id="rId46" Type="http://schemas.openxmlformats.org/officeDocument/2006/relationships/hyperlink" Target="https://login.consultant.ru/link/?req=doc&amp;base=LAW&amp;n=389823&amp;dst=1186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946&amp;dst=4" TargetMode="External"/><Relationship Id="rId20" Type="http://schemas.openxmlformats.org/officeDocument/2006/relationships/hyperlink" Target="https://login.consultant.ru/link/?req=doc&amp;base=LAW&amp;n=483090&amp;dst=108843" TargetMode="External"/><Relationship Id="rId29" Type="http://schemas.openxmlformats.org/officeDocument/2006/relationships/hyperlink" Target="https://login.consultant.ru/link/?req=doc&amp;base=LAW&amp;n=483090&amp;dst=108849" TargetMode="External"/><Relationship Id="rId41" Type="http://schemas.openxmlformats.org/officeDocument/2006/relationships/hyperlink" Target="https://login.consultant.ru/link/?req=doc&amp;base=LAW&amp;n=483090&amp;dst=1088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629&amp;dst=105384" TargetMode="External"/><Relationship Id="rId11" Type="http://schemas.openxmlformats.org/officeDocument/2006/relationships/hyperlink" Target="https://login.consultant.ru/link/?req=doc&amp;base=LAW&amp;n=428629&amp;dst=105384" TargetMode="External"/><Relationship Id="rId24" Type="http://schemas.openxmlformats.org/officeDocument/2006/relationships/hyperlink" Target="https://login.consultant.ru/link/?req=doc&amp;base=LAW&amp;n=428629&amp;dst=105385" TargetMode="External"/><Relationship Id="rId32" Type="http://schemas.openxmlformats.org/officeDocument/2006/relationships/hyperlink" Target="https://login.consultant.ru/link/?req=doc&amp;base=LAW&amp;n=483090&amp;dst=108863" TargetMode="External"/><Relationship Id="rId37" Type="http://schemas.openxmlformats.org/officeDocument/2006/relationships/hyperlink" Target="https://login.consultant.ru/link/?req=doc&amp;base=LAW&amp;n=483090&amp;dst=108869" TargetMode="External"/><Relationship Id="rId40" Type="http://schemas.openxmlformats.org/officeDocument/2006/relationships/hyperlink" Target="https://login.consultant.ru/link/?req=doc&amp;base=LAW&amp;n=469774" TargetMode="External"/><Relationship Id="rId45" Type="http://schemas.openxmlformats.org/officeDocument/2006/relationships/hyperlink" Target="https://login.consultant.ru/link/?req=doc&amp;base=LAW&amp;n=389823&amp;dst=11860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14720&amp;dst=100047" TargetMode="External"/><Relationship Id="rId23" Type="http://schemas.openxmlformats.org/officeDocument/2006/relationships/hyperlink" Target="https://login.consultant.ru/link/?req=doc&amp;base=LAW&amp;n=470336&amp;dst=100249" TargetMode="External"/><Relationship Id="rId28" Type="http://schemas.openxmlformats.org/officeDocument/2006/relationships/hyperlink" Target="https://login.consultant.ru/link/?req=doc&amp;base=LAW&amp;n=483090&amp;dst=108848" TargetMode="External"/><Relationship Id="rId36" Type="http://schemas.openxmlformats.org/officeDocument/2006/relationships/hyperlink" Target="https://login.consultant.ru/link/?req=doc&amp;base=LAW&amp;n=483090&amp;dst=108868" TargetMode="External"/><Relationship Id="rId49" Type="http://schemas.openxmlformats.org/officeDocument/2006/relationships/hyperlink" Target="https://login.consultant.ru/link/?req=doc&amp;base=LAW&amp;n=389823&amp;dst=114937" TargetMode="External"/><Relationship Id="rId10" Type="http://schemas.openxmlformats.org/officeDocument/2006/relationships/hyperlink" Target="https://login.consultant.ru/link/?req=doc&amp;base=LAW&amp;n=180004&amp;dst=100012" TargetMode="External"/><Relationship Id="rId19" Type="http://schemas.openxmlformats.org/officeDocument/2006/relationships/hyperlink" Target="https://login.consultant.ru/link/?req=doc&amp;base=LAW&amp;n=483090&amp;dst=108841" TargetMode="External"/><Relationship Id="rId31" Type="http://schemas.openxmlformats.org/officeDocument/2006/relationships/hyperlink" Target="https://login.consultant.ru/link/?req=doc&amp;base=LAW&amp;n=428629&amp;dst=105389" TargetMode="External"/><Relationship Id="rId44" Type="http://schemas.openxmlformats.org/officeDocument/2006/relationships/hyperlink" Target="https://login.consultant.ru/link/?req=doc&amp;base=LAW&amp;n=389823&amp;dst=11487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62&amp;dst=100072" TargetMode="External"/><Relationship Id="rId14" Type="http://schemas.openxmlformats.org/officeDocument/2006/relationships/hyperlink" Target="https://login.consultant.ru/link/?req=doc&amp;base=LAW&amp;n=377712&amp;dst=100963" TargetMode="External"/><Relationship Id="rId22" Type="http://schemas.openxmlformats.org/officeDocument/2006/relationships/hyperlink" Target="https://login.consultant.ru/link/?req=doc&amp;base=LAW&amp;n=483090&amp;dst=108845" TargetMode="External"/><Relationship Id="rId27" Type="http://schemas.openxmlformats.org/officeDocument/2006/relationships/hyperlink" Target="https://login.consultant.ru/link/?req=doc&amp;base=LAW&amp;n=428629&amp;dst=105387" TargetMode="External"/><Relationship Id="rId30" Type="http://schemas.openxmlformats.org/officeDocument/2006/relationships/hyperlink" Target="https://login.consultant.ru/link/?req=doc&amp;base=LAW&amp;n=483090&amp;dst=108861" TargetMode="External"/><Relationship Id="rId35" Type="http://schemas.openxmlformats.org/officeDocument/2006/relationships/hyperlink" Target="https://login.consultant.ru/link/?req=doc&amp;base=LAW&amp;n=483090&amp;dst=108865" TargetMode="External"/><Relationship Id="rId43" Type="http://schemas.openxmlformats.org/officeDocument/2006/relationships/hyperlink" Target="https://login.consultant.ru/link/?req=doc&amp;base=LAW&amp;n=428629&amp;dst=105408" TargetMode="External"/><Relationship Id="rId48" Type="http://schemas.openxmlformats.org/officeDocument/2006/relationships/hyperlink" Target="https://login.consultant.ru/link/?req=doc&amp;base=LAW&amp;n=389823&amp;dst=118641" TargetMode="External"/><Relationship Id="rId8" Type="http://schemas.openxmlformats.org/officeDocument/2006/relationships/hyperlink" Target="https://login.consultant.ru/link/?req=doc&amp;base=LAW&amp;n=480734&amp;dst=10005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6628</Words>
  <Characters>37785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2024-09-05T07:01:00Z</dcterms:created>
  <dcterms:modified xsi:type="dcterms:W3CDTF">2024-09-05T07:01:00Z</dcterms:modified>
</cp:coreProperties>
</file>